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52" w:rsidRDefault="00883F52" w:rsidP="00AC14DF">
      <w:pPr>
        <w:pStyle w:val="berschrift2"/>
      </w:pPr>
      <w:r>
        <w:t>Lösung zu Aufgabe 14: Ein „Oval“, zwei Rhomben und deren Inkreise</w:t>
      </w:r>
    </w:p>
    <w:p w:rsidR="00883F52" w:rsidRDefault="00883F52" w:rsidP="00AD0D65">
      <w:r>
        <w:t xml:space="preserve">Das Dreieck </w:t>
      </w:r>
      <w:r w:rsidRPr="00877216">
        <w:rPr>
          <w:position w:val="-6"/>
        </w:rPr>
        <w:object w:dxaOrig="6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1pt;height:13.9pt" o:ole="">
            <v:imagedata r:id="rId5" o:title=""/>
          </v:shape>
          <o:OLEObject Type="Embed" ProgID="Equation.DSMT4" ShapeID="_x0000_i1025" DrawAspect="Content" ObjectID="_1548798807" r:id="rId6"/>
        </w:object>
      </w:r>
      <w:r>
        <w:t xml:space="preserve"> ist dem Kreis </w:t>
      </w:r>
      <w:r w:rsidRPr="00877216">
        <w:rPr>
          <w:position w:val="-12"/>
        </w:rPr>
        <w:object w:dxaOrig="240" w:dyaOrig="360">
          <v:shape id="_x0000_i1026" type="#_x0000_t75" style="width:12.65pt;height:17.7pt" o:ole="">
            <v:imagedata r:id="rId7" o:title=""/>
          </v:shape>
          <o:OLEObject Type="Embed" ProgID="Equation.DSMT4" ShapeID="_x0000_i1026" DrawAspect="Content" ObjectID="_1548798808" r:id="rId8"/>
        </w:object>
      </w:r>
      <w:r>
        <w:t xml:space="preserve"> eingeschrieben, sodass der Sehnensatz (siehe Kapitel 3.6) angewandt werden kann: </w:t>
      </w:r>
      <w:r w:rsidRPr="00877216">
        <w:rPr>
          <w:position w:val="-18"/>
        </w:rPr>
        <w:object w:dxaOrig="3080" w:dyaOrig="480">
          <v:shape id="_x0000_i1027" type="#_x0000_t75" style="width:152.85pt;height:24pt" o:ole="">
            <v:imagedata r:id="rId9" o:title=""/>
          </v:shape>
          <o:OLEObject Type="Embed" ProgID="Equation.DSMT4" ShapeID="_x0000_i1027" DrawAspect="Content" ObjectID="_1548798809" r:id="rId10"/>
        </w:object>
      </w:r>
      <w:r>
        <w:t xml:space="preserve">. Ersetzt man </w:t>
      </w:r>
      <w:r w:rsidRPr="00337E83">
        <w:rPr>
          <w:position w:val="-24"/>
        </w:rPr>
        <w:object w:dxaOrig="940" w:dyaOrig="620">
          <v:shape id="_x0000_i1028" type="#_x0000_t75" style="width:48pt;height:31.6pt" o:ole="">
            <v:imagedata r:id="rId11" o:title=""/>
          </v:shape>
          <o:OLEObject Type="Embed" ProgID="Equation.DSMT4" ShapeID="_x0000_i1028" DrawAspect="Content" ObjectID="_1548798810" r:id="rId12"/>
        </w:object>
      </w:r>
      <w:r>
        <w:t xml:space="preserve">, </w:t>
      </w:r>
      <w:r w:rsidRPr="00337E83">
        <w:rPr>
          <w:position w:val="-12"/>
        </w:rPr>
        <w:object w:dxaOrig="700" w:dyaOrig="360">
          <v:shape id="_x0000_i1029" type="#_x0000_t75" style="width:35.35pt;height:17.7pt" o:ole="">
            <v:imagedata r:id="rId13" o:title=""/>
          </v:shape>
          <o:OLEObject Type="Embed" ProgID="Equation.DSMT4" ShapeID="_x0000_i1029" DrawAspect="Content" ObjectID="_1548798811" r:id="rId14"/>
        </w:object>
      </w:r>
      <w:r>
        <w:t xml:space="preserve"> und </w:t>
      </w:r>
      <w:r w:rsidRPr="00337E83">
        <w:rPr>
          <w:position w:val="-12"/>
        </w:rPr>
        <w:object w:dxaOrig="1260" w:dyaOrig="400">
          <v:shape id="_x0000_i1030" type="#_x0000_t75" style="width:63.15pt;height:20.2pt" o:ole="">
            <v:imagedata r:id="rId15" o:title=""/>
          </v:shape>
          <o:OLEObject Type="Embed" ProgID="Equation.DSMT4" ShapeID="_x0000_i1030" DrawAspect="Content" ObjectID="_1548798812" r:id="rId16"/>
        </w:object>
      </w:r>
      <w:r>
        <w:t xml:space="preserve">, so erhält man </w:t>
      </w:r>
      <w:r w:rsidRPr="00337E83">
        <w:rPr>
          <w:position w:val="-28"/>
        </w:rPr>
        <w:object w:dxaOrig="1880" w:dyaOrig="680">
          <v:shape id="_x0000_i1031" type="#_x0000_t75" style="width:93.45pt;height:34.1pt" o:ole="">
            <v:imagedata r:id="rId17" o:title=""/>
          </v:shape>
          <o:OLEObject Type="Embed" ProgID="Equation.DSMT4" ShapeID="_x0000_i1031" DrawAspect="Content" ObjectID="_1548798813" r:id="rId18"/>
        </w:object>
      </w:r>
      <w:r>
        <w:t xml:space="preserve"> bzw. </w:t>
      </w:r>
      <w:r w:rsidRPr="00A731FC">
        <w:rPr>
          <w:position w:val="-24"/>
        </w:rPr>
        <w:object w:dxaOrig="1660" w:dyaOrig="660">
          <v:shape id="_x0000_i1032" type="#_x0000_t75" style="width:82.1pt;height:32.85pt" o:ole="">
            <v:imagedata r:id="rId19" o:title=""/>
          </v:shape>
          <o:OLEObject Type="Embed" ProgID="Equation.DSMT4" ShapeID="_x0000_i1032" DrawAspect="Content" ObjectID="_1548798814" r:id="rId20"/>
        </w:object>
      </w:r>
      <w:r>
        <w:t>.</w:t>
      </w:r>
    </w:p>
    <w:p w:rsidR="00883F52" w:rsidRDefault="00883F52" w:rsidP="00FE24AE">
      <w:pPr>
        <w:keepNext/>
        <w:jc w:val="center"/>
      </w:pPr>
      <w:r w:rsidRPr="00D24FDC">
        <w:rPr>
          <w:noProof/>
          <w:lang w:eastAsia="de-AT"/>
        </w:rPr>
        <w:drawing>
          <wp:inline distT="0" distB="0" distL="0" distR="0" wp14:anchorId="31459DBA" wp14:editId="56C0A5B6">
            <wp:extent cx="3096000" cy="2335330"/>
            <wp:effectExtent l="0" t="0" r="0" b="8255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96000" cy="233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F52" w:rsidRDefault="00883F52" w:rsidP="00FE24AE">
      <w:r>
        <w:t xml:space="preserve">Der Lehrsatz des Pythagoras angewandt im Dreieck </w:t>
      </w:r>
      <w:r w:rsidRPr="00337E83">
        <w:rPr>
          <w:position w:val="-12"/>
        </w:rPr>
        <w:object w:dxaOrig="800" w:dyaOrig="360">
          <v:shape id="_x0000_i1033" type="#_x0000_t75" style="width:40.4pt;height:17.7pt" o:ole="">
            <v:imagedata r:id="rId22" o:title=""/>
          </v:shape>
          <o:OLEObject Type="Embed" ProgID="Equation.DSMT4" ShapeID="_x0000_i1033" DrawAspect="Content" ObjectID="_1548798815" r:id="rId23"/>
        </w:object>
      </w:r>
      <w:r>
        <w:t xml:space="preserve"> liefert </w:t>
      </w:r>
      <w:r w:rsidRPr="00A731FC">
        <w:rPr>
          <w:position w:val="-12"/>
        </w:rPr>
        <w:object w:dxaOrig="2079" w:dyaOrig="440">
          <v:shape id="_x0000_i1034" type="#_x0000_t75" style="width:103.6pt;height:21.45pt" o:ole="">
            <v:imagedata r:id="rId24" o:title=""/>
          </v:shape>
          <o:OLEObject Type="Embed" ProgID="Equation.DSMT4" ShapeID="_x0000_i1034" DrawAspect="Content" ObjectID="_1548798816" r:id="rId25"/>
        </w:object>
      </w:r>
      <w:r>
        <w:t xml:space="preserve">, also </w:t>
      </w:r>
      <w:r w:rsidRPr="00A731FC">
        <w:rPr>
          <w:position w:val="-28"/>
        </w:rPr>
        <w:object w:dxaOrig="2000" w:dyaOrig="740">
          <v:shape id="_x0000_i1035" type="#_x0000_t75" style="width:101.05pt;height:36.65pt" o:ole="">
            <v:imagedata r:id="rId26" o:title=""/>
          </v:shape>
          <o:OLEObject Type="Embed" ProgID="Equation.DSMT4" ShapeID="_x0000_i1035" DrawAspect="Content" ObjectID="_1548798817" r:id="rId27"/>
        </w:object>
      </w:r>
      <w:r>
        <w:t xml:space="preserve">, was wiederum zu </w:t>
      </w:r>
      <w:r w:rsidRPr="00A731FC">
        <w:rPr>
          <w:position w:val="-24"/>
        </w:rPr>
        <w:object w:dxaOrig="900" w:dyaOrig="680">
          <v:shape id="_x0000_i1036" type="#_x0000_t75" style="width:45.45pt;height:34.1pt" o:ole="">
            <v:imagedata r:id="rId28" o:title=""/>
          </v:shape>
          <o:OLEObject Type="Embed" ProgID="Equation.DSMT4" ShapeID="_x0000_i1036" DrawAspect="Content" ObjectID="_1548798818" r:id="rId29"/>
        </w:object>
      </w:r>
      <w:r>
        <w:t>, dem ersten Teil der Lösung, führt.</w:t>
      </w:r>
    </w:p>
    <w:p w:rsidR="00883F52" w:rsidRDefault="00883F52" w:rsidP="00AD0D65">
      <w:r>
        <w:t xml:space="preserve">Der Flächeninhalt des Rhombus </w:t>
      </w:r>
      <w:r w:rsidRPr="00AA206D">
        <w:rPr>
          <w:position w:val="-6"/>
        </w:rPr>
        <w:object w:dxaOrig="740" w:dyaOrig="279">
          <v:shape id="_x0000_i1037" type="#_x0000_t75" style="width:36.65pt;height:13.9pt" o:ole="">
            <v:imagedata r:id="rId30" o:title=""/>
          </v:shape>
          <o:OLEObject Type="Embed" ProgID="Equation.DSMT4" ShapeID="_x0000_i1037" DrawAspect="Content" ObjectID="_1548798819" r:id="rId31"/>
        </w:object>
      </w:r>
      <w:r>
        <w:t xml:space="preserve"> lässt sich sowohl über die Diagonalen mithilfe von </w:t>
      </w:r>
      <w:r w:rsidRPr="00A731FC">
        <w:rPr>
          <w:position w:val="-24"/>
        </w:rPr>
        <w:object w:dxaOrig="1540" w:dyaOrig="620">
          <v:shape id="_x0000_i1038" type="#_x0000_t75" style="width:77.05pt;height:31.6pt" o:ole="">
            <v:imagedata r:id="rId32" o:title=""/>
          </v:shape>
          <o:OLEObject Type="Embed" ProgID="Equation.DSMT4" ShapeID="_x0000_i1038" DrawAspect="Content" ObjectID="_1548798820" r:id="rId33"/>
        </w:object>
      </w:r>
      <w:r>
        <w:t xml:space="preserve">, als auch über Seite und Höhe mithilfe von </w:t>
      </w:r>
      <w:r w:rsidRPr="000372B3">
        <w:rPr>
          <w:position w:val="-12"/>
        </w:rPr>
        <w:object w:dxaOrig="980" w:dyaOrig="360">
          <v:shape id="_x0000_i1039" type="#_x0000_t75" style="width:49.25pt;height:17.7pt" o:ole="">
            <v:imagedata r:id="rId34" o:title=""/>
          </v:shape>
          <o:OLEObject Type="Embed" ProgID="Equation.DSMT4" ShapeID="_x0000_i1039" DrawAspect="Content" ObjectID="_1548798821" r:id="rId35"/>
        </w:object>
      </w:r>
      <w:r>
        <w:t xml:space="preserve"> berechnen.</w:t>
      </w:r>
    </w:p>
    <w:p w:rsidR="00883F52" w:rsidRDefault="00883F52" w:rsidP="00AD0D65">
      <w:r>
        <w:t xml:space="preserve">Da </w:t>
      </w:r>
      <w:r w:rsidRPr="000372B3">
        <w:rPr>
          <w:position w:val="-26"/>
        </w:rPr>
        <w:object w:dxaOrig="2680" w:dyaOrig="720">
          <v:shape id="_x0000_i1040" type="#_x0000_t75" style="width:135.15pt;height:36.65pt" o:ole="">
            <v:imagedata r:id="rId36" o:title=""/>
          </v:shape>
          <o:OLEObject Type="Embed" ProgID="Equation.DSMT4" ShapeID="_x0000_i1040" DrawAspect="Content" ObjectID="_1548798822" r:id="rId37"/>
        </w:object>
      </w:r>
      <w:r>
        <w:t xml:space="preserve"> und </w:t>
      </w:r>
      <w:r w:rsidRPr="000372B3">
        <w:rPr>
          <w:position w:val="-24"/>
        </w:rPr>
        <w:object w:dxaOrig="820" w:dyaOrig="620">
          <v:shape id="_x0000_i1041" type="#_x0000_t75" style="width:40.4pt;height:31.6pt" o:ole="">
            <v:imagedata r:id="rId38" o:title=""/>
          </v:shape>
          <o:OLEObject Type="Embed" ProgID="Equation.DSMT4" ShapeID="_x0000_i1041" DrawAspect="Content" ObjectID="_1548798823" r:id="rId39"/>
        </w:object>
      </w:r>
      <w:r>
        <w:t xml:space="preserve"> ist, liefert Gleichsetzen der beiden Flächeninhaltsformeln: </w:t>
      </w:r>
      <w:r w:rsidRPr="00463368">
        <w:rPr>
          <w:position w:val="-26"/>
        </w:rPr>
        <w:object w:dxaOrig="2799" w:dyaOrig="720">
          <v:shape id="_x0000_i1042" type="#_x0000_t75" style="width:138.95pt;height:36.65pt" o:ole="">
            <v:imagedata r:id="rId40" o:title=""/>
          </v:shape>
          <o:OLEObject Type="Embed" ProgID="Equation.DSMT4" ShapeID="_x0000_i1042" DrawAspect="Content" ObjectID="_1548798824" r:id="rId41"/>
        </w:object>
      </w:r>
      <w:r>
        <w:t>.</w:t>
      </w:r>
    </w:p>
    <w:p w:rsidR="00883F52" w:rsidRDefault="00883F52" w:rsidP="00AD0D65">
      <w:r>
        <w:t xml:space="preserve">Umformen führt zum zweiten Teil der Lösung: </w:t>
      </w:r>
      <w:r w:rsidRPr="00D340EE">
        <w:rPr>
          <w:position w:val="-24"/>
        </w:rPr>
        <w:object w:dxaOrig="1760" w:dyaOrig="620">
          <v:shape id="_x0000_i1043" type="#_x0000_t75" style="width:88.4pt;height:31.6pt" o:ole="">
            <v:imagedata r:id="rId42" o:title=""/>
          </v:shape>
          <o:OLEObject Type="Embed" ProgID="Equation.DSMT4" ShapeID="_x0000_i1043" DrawAspect="Content" ObjectID="_1548798825" r:id="rId43"/>
        </w:object>
      </w:r>
      <w:r>
        <w:t>.</w:t>
      </w:r>
    </w:p>
    <w:p w:rsidR="00A34483" w:rsidRPr="007435E0" w:rsidRDefault="00A34483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bookmarkStart w:id="0" w:name="_GoBack"/>
      <w:bookmarkEnd w:id="0"/>
    </w:p>
    <w:sectPr w:rsidR="00A34483" w:rsidRPr="007435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52"/>
    <w:rsid w:val="001A35C9"/>
    <w:rsid w:val="001E5245"/>
    <w:rsid w:val="00235596"/>
    <w:rsid w:val="0028125E"/>
    <w:rsid w:val="002B610F"/>
    <w:rsid w:val="003757C0"/>
    <w:rsid w:val="005A473E"/>
    <w:rsid w:val="005D63C3"/>
    <w:rsid w:val="007435E0"/>
    <w:rsid w:val="00764F8F"/>
    <w:rsid w:val="00883F52"/>
    <w:rsid w:val="009505E2"/>
    <w:rsid w:val="009901FF"/>
    <w:rsid w:val="00A34483"/>
    <w:rsid w:val="00A9258B"/>
    <w:rsid w:val="00AE37D1"/>
    <w:rsid w:val="00C937CB"/>
    <w:rsid w:val="00CC615A"/>
    <w:rsid w:val="00D22831"/>
    <w:rsid w:val="00DA221B"/>
    <w:rsid w:val="00E06688"/>
    <w:rsid w:val="00EA3BB2"/>
    <w:rsid w:val="00F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83F52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83F5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3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3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83F52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83F5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3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3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image" Target="media/image9.png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3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2017-02-16T23:55:00Z</dcterms:created>
  <dcterms:modified xsi:type="dcterms:W3CDTF">2017-02-17T00:07:00Z</dcterms:modified>
</cp:coreProperties>
</file>