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88" w:rsidRPr="009E2416" w:rsidRDefault="00EA6388" w:rsidP="00AC14DF">
      <w:pPr>
        <w:pStyle w:val="berschrift2"/>
        <w:rPr>
          <w:rStyle w:val="BeweisLsungZchn"/>
          <w:b/>
          <w:i w:val="0"/>
        </w:rPr>
      </w:pPr>
      <w:r>
        <w:t>Lösung zu Aufgabe 2: Viele benachbarte Kreise</w:t>
      </w:r>
    </w:p>
    <w:p w:rsidR="00EA6388" w:rsidRDefault="00EA6388" w:rsidP="00AD0D65">
      <w:r>
        <w:t xml:space="preserve">Aus Aufgabe 1 ist bereits bekannt, dass </w:t>
      </w:r>
      <w:r w:rsidRPr="001E3073">
        <w:rPr>
          <w:position w:val="-34"/>
        </w:rPr>
        <w:object w:dxaOrig="16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1pt;height:36.65pt" o:ole="">
            <v:imagedata r:id="rId5" o:title=""/>
          </v:shape>
          <o:OLEObject Type="Embed" ProgID="Equation.DSMT4" ShapeID="_x0000_i1025" DrawAspect="Content" ObjectID="_1548798724" r:id="rId6"/>
        </w:object>
      </w:r>
      <w:r>
        <w:t xml:space="preserve"> gilt. Man ersetze nun </w:t>
      </w:r>
      <w:r w:rsidRPr="00AC32BB">
        <w:rPr>
          <w:position w:val="-34"/>
        </w:rPr>
        <w:object w:dxaOrig="800" w:dyaOrig="720">
          <v:shape id="_x0000_i1026" type="#_x0000_t75" style="width:40.4pt;height:36.65pt" o:ole="">
            <v:imagedata r:id="rId7" o:title=""/>
          </v:shape>
          <o:OLEObject Type="Embed" ProgID="Equation.DSMT4" ShapeID="_x0000_i1026" DrawAspect="Content" ObjectID="_1548798725" r:id="rId8"/>
        </w:object>
      </w:r>
      <w:r>
        <w:t xml:space="preserve">, wodurch sich </w:t>
      </w:r>
      <w:r w:rsidRPr="006777E9">
        <w:rPr>
          <w:position w:val="-12"/>
        </w:rPr>
        <w:object w:dxaOrig="960" w:dyaOrig="360">
          <v:shape id="_x0000_i1027" type="#_x0000_t75" style="width:48pt;height:17.7pt" o:ole="">
            <v:imagedata r:id="rId9" o:title=""/>
          </v:shape>
          <o:OLEObject Type="Embed" ProgID="Equation.DSMT4" ShapeID="_x0000_i1027" DrawAspect="Content" ObjectID="_1548798726" r:id="rId10"/>
        </w:object>
      </w:r>
      <w:r>
        <w:t xml:space="preserve"> ergibt.</w:t>
      </w:r>
    </w:p>
    <w:p w:rsidR="00EA6388" w:rsidRDefault="00EA6388" w:rsidP="00AD0D65">
      <w:r>
        <w:t xml:space="preserve">Da es sich bei </w:t>
      </w:r>
      <w:r w:rsidRPr="00D503B0">
        <w:rPr>
          <w:position w:val="-12"/>
        </w:rPr>
        <w:object w:dxaOrig="260" w:dyaOrig="360">
          <v:shape id="_x0000_i1028" type="#_x0000_t75" style="width:12.65pt;height:17.7pt" o:ole="">
            <v:imagedata r:id="rId11" o:title=""/>
          </v:shape>
          <o:OLEObject Type="Embed" ProgID="Equation.DSMT4" ShapeID="_x0000_i1028" DrawAspect="Content" ObjectID="_1548798727" r:id="rId12"/>
        </w:object>
      </w:r>
      <w:r>
        <w:t xml:space="preserve"> umschlossen von </w:t>
      </w:r>
      <w:r w:rsidRPr="00D503B0">
        <w:rPr>
          <w:position w:val="-12"/>
        </w:rPr>
        <w:object w:dxaOrig="240" w:dyaOrig="360">
          <v:shape id="_x0000_i1029" type="#_x0000_t75" style="width:12.65pt;height:17.7pt" o:ole="">
            <v:imagedata r:id="rId13" o:title=""/>
          </v:shape>
          <o:OLEObject Type="Embed" ProgID="Equation.DSMT4" ShapeID="_x0000_i1029" DrawAspect="Content" ObjectID="_1548798728" r:id="rId14"/>
        </w:object>
      </w:r>
      <w:r>
        <w:t xml:space="preserve">, </w:t>
      </w:r>
      <w:r w:rsidRPr="00D503B0">
        <w:rPr>
          <w:position w:val="-12"/>
        </w:rPr>
        <w:object w:dxaOrig="260" w:dyaOrig="360">
          <v:shape id="_x0000_i1030" type="#_x0000_t75" style="width:12.65pt;height:17.7pt" o:ole="">
            <v:imagedata r:id="rId15" o:title=""/>
          </v:shape>
          <o:OLEObject Type="Embed" ProgID="Equation.DSMT4" ShapeID="_x0000_i1030" DrawAspect="Content" ObjectID="_1548798729" r:id="rId16"/>
        </w:object>
      </w:r>
      <w:r>
        <w:t xml:space="preserve"> und </w:t>
      </w:r>
      <w:r w:rsidRPr="00D503B0">
        <w:rPr>
          <w:position w:val="-10"/>
        </w:rPr>
        <w:object w:dxaOrig="220" w:dyaOrig="260">
          <v:shape id="_x0000_i1031" type="#_x0000_t75" style="width:10.1pt;height:12.65pt" o:ole="">
            <v:imagedata r:id="rId17" o:title=""/>
          </v:shape>
          <o:OLEObject Type="Embed" ProgID="Equation.DSMT4" ShapeID="_x0000_i1031" DrawAspect="Content" ObjectID="_1548798730" r:id="rId18"/>
        </w:object>
      </w:r>
      <w:r>
        <w:t xml:space="preserve"> um die gleiche Situation handelt wie bei </w:t>
      </w:r>
      <w:r w:rsidRPr="00D503B0">
        <w:rPr>
          <w:position w:val="-12"/>
        </w:rPr>
        <w:object w:dxaOrig="260" w:dyaOrig="360">
          <v:shape id="_x0000_i1032" type="#_x0000_t75" style="width:12.65pt;height:17.7pt" o:ole="">
            <v:imagedata r:id="rId19" o:title=""/>
          </v:shape>
          <o:OLEObject Type="Embed" ProgID="Equation.DSMT4" ShapeID="_x0000_i1032" DrawAspect="Content" ObjectID="_1548798731" r:id="rId20"/>
        </w:object>
      </w:r>
      <w:r>
        <w:t xml:space="preserve"> umschlossen von </w:t>
      </w:r>
      <w:r w:rsidRPr="00D503B0">
        <w:rPr>
          <w:position w:val="-12"/>
        </w:rPr>
        <w:object w:dxaOrig="240" w:dyaOrig="360">
          <v:shape id="_x0000_i1033" type="#_x0000_t75" style="width:12.65pt;height:17.7pt" o:ole="">
            <v:imagedata r:id="rId21" o:title=""/>
          </v:shape>
          <o:OLEObject Type="Embed" ProgID="Equation.DSMT4" ShapeID="_x0000_i1033" DrawAspect="Content" ObjectID="_1548798732" r:id="rId22"/>
        </w:object>
      </w:r>
      <w:r>
        <w:t xml:space="preserve">, </w:t>
      </w:r>
      <w:r w:rsidRPr="00D503B0">
        <w:rPr>
          <w:position w:val="-12"/>
        </w:rPr>
        <w:object w:dxaOrig="260" w:dyaOrig="360">
          <v:shape id="_x0000_i1034" type="#_x0000_t75" style="width:12.65pt;height:17.7pt" o:ole="">
            <v:imagedata r:id="rId23" o:title=""/>
          </v:shape>
          <o:OLEObject Type="Embed" ProgID="Equation.DSMT4" ShapeID="_x0000_i1034" DrawAspect="Content" ObjectID="_1548798733" r:id="rId24"/>
        </w:object>
      </w:r>
      <w:r>
        <w:t xml:space="preserve"> und </w:t>
      </w:r>
      <w:r w:rsidRPr="00D503B0">
        <w:rPr>
          <w:position w:val="-10"/>
        </w:rPr>
        <w:object w:dxaOrig="220" w:dyaOrig="260">
          <v:shape id="_x0000_i1035" type="#_x0000_t75" style="width:10.1pt;height:12.65pt" o:ole="">
            <v:imagedata r:id="rId25" o:title=""/>
          </v:shape>
          <o:OLEObject Type="Embed" ProgID="Equation.DSMT4" ShapeID="_x0000_i1035" DrawAspect="Content" ObjectID="_1548798734" r:id="rId26"/>
        </w:object>
      </w:r>
      <w:r>
        <w:t xml:space="preserve">, gilt folglich auch </w:t>
      </w:r>
      <w:r w:rsidRPr="00D503B0">
        <w:rPr>
          <w:position w:val="-12"/>
        </w:rPr>
        <w:object w:dxaOrig="960" w:dyaOrig="360">
          <v:shape id="_x0000_i1036" type="#_x0000_t75" style="width:48pt;height:17.7pt" o:ole="">
            <v:imagedata r:id="rId27" o:title=""/>
          </v:shape>
          <o:OLEObject Type="Embed" ProgID="Equation.DSMT4" ShapeID="_x0000_i1036" DrawAspect="Content" ObjectID="_1548798735" r:id="rId28"/>
        </w:object>
      </w:r>
      <w:r>
        <w:t xml:space="preserve">. Gleichermaßen ergibt sich </w:t>
      </w:r>
      <w:r w:rsidRPr="00D503B0">
        <w:rPr>
          <w:position w:val="-12"/>
        </w:rPr>
        <w:object w:dxaOrig="960" w:dyaOrig="360">
          <v:shape id="_x0000_i1037" type="#_x0000_t75" style="width:48pt;height:17.7pt" o:ole="">
            <v:imagedata r:id="rId29" o:title=""/>
          </v:shape>
          <o:OLEObject Type="Embed" ProgID="Equation.DSMT4" ShapeID="_x0000_i1037" DrawAspect="Content" ObjectID="_1548798736" r:id="rId30"/>
        </w:object>
      </w:r>
      <w:r>
        <w:t xml:space="preserve">, </w:t>
      </w:r>
      <w:r w:rsidRPr="00D503B0">
        <w:rPr>
          <w:position w:val="-12"/>
        </w:rPr>
        <w:object w:dxaOrig="960" w:dyaOrig="360">
          <v:shape id="_x0000_i1038" type="#_x0000_t75" style="width:48pt;height:17.7pt" o:ole="">
            <v:imagedata r:id="rId31" o:title=""/>
          </v:shape>
          <o:OLEObject Type="Embed" ProgID="Equation.DSMT4" ShapeID="_x0000_i1038" DrawAspect="Content" ObjectID="_1548798737" r:id="rId32"/>
        </w:object>
      </w:r>
      <w:r>
        <w:t>, usw.</w:t>
      </w:r>
    </w:p>
    <w:p w:rsidR="00EA6388" w:rsidRDefault="00EA6388" w:rsidP="00AD0D65">
      <w:r>
        <w:t xml:space="preserve">Allgemein gilt also </w:t>
      </w:r>
      <w:r w:rsidRPr="00D503B0">
        <w:rPr>
          <w:position w:val="-12"/>
        </w:rPr>
        <w:object w:dxaOrig="1100" w:dyaOrig="360">
          <v:shape id="_x0000_i1039" type="#_x0000_t75" style="width:54.3pt;height:17.7pt" o:ole="">
            <v:imagedata r:id="rId33" o:title=""/>
          </v:shape>
          <o:OLEObject Type="Embed" ProgID="Equation.DSMT4" ShapeID="_x0000_i1039" DrawAspect="Content" ObjectID="_1548798738" r:id="rId34"/>
        </w:object>
      </w:r>
      <w:r>
        <w:t xml:space="preserve">, wobei </w:t>
      </w:r>
      <w:r w:rsidRPr="00D503B0">
        <w:rPr>
          <w:position w:val="-12"/>
        </w:rPr>
        <w:object w:dxaOrig="180" w:dyaOrig="360">
          <v:shape id="_x0000_i1040" type="#_x0000_t75" style="width:8.85pt;height:17.7pt" o:ole="">
            <v:imagedata r:id="rId35" o:title=""/>
          </v:shape>
          <o:OLEObject Type="Embed" ProgID="Equation.DSMT4" ShapeID="_x0000_i1040" DrawAspect="Content" ObjectID="_1548798739" r:id="rId36"/>
        </w:object>
      </w:r>
      <w:r>
        <w:t xml:space="preserve"> und </w:t>
      </w:r>
      <w:r w:rsidRPr="00D503B0">
        <w:rPr>
          <w:position w:val="-12"/>
        </w:rPr>
        <w:object w:dxaOrig="220" w:dyaOrig="360">
          <v:shape id="_x0000_i1041" type="#_x0000_t75" style="width:10.1pt;height:17.7pt" o:ole="">
            <v:imagedata r:id="rId37" o:title=""/>
          </v:shape>
          <o:OLEObject Type="Embed" ProgID="Equation.DSMT4" ShapeID="_x0000_i1041" DrawAspect="Content" ObjectID="_1548798740" r:id="rId38"/>
        </w:object>
      </w:r>
      <w:r>
        <w:t xml:space="preserve"> bekannt sind.</w:t>
      </w:r>
    </w:p>
    <w:p w:rsidR="00EA6388" w:rsidRDefault="00EA6388" w:rsidP="00AD0D65">
      <w:r>
        <w:t>Es handelt sich um eine arithmetische Folge, mit diesen ersten Folgengliedern:</w:t>
      </w:r>
    </w:p>
    <w:p w:rsidR="00EA6388" w:rsidRDefault="00EA6388" w:rsidP="00AD0D65">
      <w:r w:rsidRPr="001E3073">
        <w:rPr>
          <w:position w:val="-12"/>
        </w:rPr>
        <w:object w:dxaOrig="960" w:dyaOrig="360">
          <v:shape id="_x0000_i1042" type="#_x0000_t75" style="width:48pt;height:17.7pt" o:ole="">
            <v:imagedata r:id="rId39" o:title=""/>
          </v:shape>
          <o:OLEObject Type="Embed" ProgID="Equation.DSMT4" ShapeID="_x0000_i1042" DrawAspect="Content" ObjectID="_1548798741" r:id="rId40"/>
        </w:object>
      </w:r>
    </w:p>
    <w:p w:rsidR="00EA6388" w:rsidRDefault="00EA6388" w:rsidP="00AD0D65">
      <w:r w:rsidRPr="001E3073">
        <w:rPr>
          <w:position w:val="-12"/>
        </w:rPr>
        <w:object w:dxaOrig="3040" w:dyaOrig="360">
          <v:shape id="_x0000_i1043" type="#_x0000_t75" style="width:151.6pt;height:17.7pt" o:ole="">
            <v:imagedata r:id="rId41" o:title=""/>
          </v:shape>
          <o:OLEObject Type="Embed" ProgID="Equation.DSMT4" ShapeID="_x0000_i1043" DrawAspect="Content" ObjectID="_1548798742" r:id="rId42"/>
        </w:object>
      </w:r>
    </w:p>
    <w:p w:rsidR="00EA6388" w:rsidRDefault="00EA6388" w:rsidP="00AD0D65">
      <w:r w:rsidRPr="001E3073">
        <w:rPr>
          <w:position w:val="-12"/>
        </w:rPr>
        <w:object w:dxaOrig="3260" w:dyaOrig="360">
          <v:shape id="_x0000_i1044" type="#_x0000_t75" style="width:162.95pt;height:17.7pt" o:ole="">
            <v:imagedata r:id="rId43" o:title=""/>
          </v:shape>
          <o:OLEObject Type="Embed" ProgID="Equation.DSMT4" ShapeID="_x0000_i1044" DrawAspect="Content" ObjectID="_1548798743" r:id="rId44"/>
        </w:object>
      </w:r>
    </w:p>
    <w:p w:rsidR="00EA6388" w:rsidRDefault="00EA6388" w:rsidP="001E3073">
      <w:r w:rsidRPr="001E3073">
        <w:rPr>
          <w:position w:val="-12"/>
        </w:rPr>
        <w:object w:dxaOrig="3260" w:dyaOrig="360">
          <v:shape id="_x0000_i1045" type="#_x0000_t75" style="width:162.95pt;height:17.7pt" o:ole="">
            <v:imagedata r:id="rId45" o:title=""/>
          </v:shape>
          <o:OLEObject Type="Embed" ProgID="Equation.DSMT4" ShapeID="_x0000_i1045" DrawAspect="Content" ObjectID="_1548798744" r:id="rId46"/>
        </w:object>
      </w:r>
    </w:p>
    <w:p w:rsidR="00EA6388" w:rsidRDefault="00EA6388" w:rsidP="00AD0D65">
      <w:r>
        <w:t>usw.</w:t>
      </w:r>
    </w:p>
    <w:p w:rsidR="00EA6388" w:rsidRDefault="00EA6388" w:rsidP="00AD0D65">
      <w:r>
        <w:t xml:space="preserve">Daraus lässt sich die explizite Darstellung der Folge leicht ablesen. Es gilt also </w:t>
      </w:r>
      <w:r w:rsidRPr="00847217">
        <w:rPr>
          <w:position w:val="-14"/>
        </w:rPr>
        <w:object w:dxaOrig="1719" w:dyaOrig="400">
          <v:shape id="_x0000_i1046" type="#_x0000_t75" style="width:85.9pt;height:20.2pt" o:ole="">
            <v:imagedata r:id="rId47" o:title=""/>
          </v:shape>
          <o:OLEObject Type="Embed" ProgID="Equation.DSMT4" ShapeID="_x0000_i1046" DrawAspect="Content" ObjectID="_1548798745" r:id="rId48"/>
        </w:object>
      </w:r>
      <w:r>
        <w:t>.</w:t>
      </w:r>
    </w:p>
    <w:p w:rsidR="00EA6388" w:rsidRDefault="00EA6388" w:rsidP="00AD0D65">
      <w:r>
        <w:t xml:space="preserve">Ersetzt man nun wieder </w:t>
      </w:r>
      <w:r w:rsidRPr="00AC32BB">
        <w:rPr>
          <w:position w:val="-34"/>
        </w:rPr>
        <w:object w:dxaOrig="800" w:dyaOrig="720">
          <v:shape id="_x0000_i1047" type="#_x0000_t75" style="width:40.4pt;height:36.65pt" o:ole="">
            <v:imagedata r:id="rId7" o:title=""/>
          </v:shape>
          <o:OLEObject Type="Embed" ProgID="Equation.DSMT4" ShapeID="_x0000_i1047" DrawAspect="Content" ObjectID="_1548798746" r:id="rId49"/>
        </w:object>
      </w:r>
      <w:r>
        <w:t>, so erhält man</w:t>
      </w:r>
    </w:p>
    <w:p w:rsidR="00EA6388" w:rsidRDefault="00EA6388" w:rsidP="00AD0D65">
      <w:r w:rsidRPr="00AC32BB">
        <w:rPr>
          <w:position w:val="-34"/>
        </w:rPr>
        <w:object w:dxaOrig="1800" w:dyaOrig="720">
          <v:shape id="_x0000_i1048" type="#_x0000_t75" style="width:89.7pt;height:36.65pt" o:ole="">
            <v:imagedata r:id="rId50" o:title=""/>
          </v:shape>
          <o:OLEObject Type="Embed" ProgID="Equation.DSMT4" ShapeID="_x0000_i1048" DrawAspect="Content" ObjectID="_1548798747" r:id="rId51"/>
        </w:object>
      </w:r>
    </w:p>
    <w:p w:rsidR="00EA6388" w:rsidRDefault="00EA6388" w:rsidP="00AD0D65">
      <w:r>
        <w:t xml:space="preserve">oder, nach </w:t>
      </w:r>
      <w:r w:rsidRPr="00AC32BB">
        <w:rPr>
          <w:position w:val="-12"/>
        </w:rPr>
        <w:object w:dxaOrig="220" w:dyaOrig="360">
          <v:shape id="_x0000_i1049" type="#_x0000_t75" style="width:10.1pt;height:17.7pt" o:ole="">
            <v:imagedata r:id="rId52" o:title=""/>
          </v:shape>
          <o:OLEObject Type="Embed" ProgID="Equation.DSMT4" ShapeID="_x0000_i1049" DrawAspect="Content" ObjectID="_1548798748" r:id="rId53"/>
        </w:object>
      </w:r>
      <w:r>
        <w:t xml:space="preserve"> umgeformt, </w:t>
      </w:r>
    </w:p>
    <w:p w:rsidR="00EA6388" w:rsidRDefault="00EA6388" w:rsidP="00AD0D65">
      <w:r w:rsidRPr="00AC32BB">
        <w:rPr>
          <w:position w:val="-36"/>
        </w:rPr>
        <w:object w:dxaOrig="1980" w:dyaOrig="880">
          <v:shape id="_x0000_i1050" type="#_x0000_t75" style="width:98.55pt;height:44.2pt" o:ole="">
            <v:imagedata r:id="rId54" o:title=""/>
          </v:shape>
          <o:OLEObject Type="Embed" ProgID="Equation.DSMT4" ShapeID="_x0000_i1050" DrawAspect="Content" ObjectID="_1548798749" r:id="rId55"/>
        </w:object>
      </w:r>
      <w:r>
        <w:t>.</w:t>
      </w:r>
    </w:p>
    <w:p w:rsidR="00A34483" w:rsidRPr="003C199F" w:rsidRDefault="00A3448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bookmarkStart w:id="0" w:name="_GoBack"/>
      <w:bookmarkEnd w:id="0"/>
    </w:p>
    <w:sectPr w:rsidR="00A34483" w:rsidRPr="003C19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88"/>
    <w:rsid w:val="001A35C9"/>
    <w:rsid w:val="001E5245"/>
    <w:rsid w:val="00235596"/>
    <w:rsid w:val="0028125E"/>
    <w:rsid w:val="002B610F"/>
    <w:rsid w:val="003757C0"/>
    <w:rsid w:val="003C199F"/>
    <w:rsid w:val="005A473E"/>
    <w:rsid w:val="005D63C3"/>
    <w:rsid w:val="00764F8F"/>
    <w:rsid w:val="009505E2"/>
    <w:rsid w:val="009901FF"/>
    <w:rsid w:val="00A34483"/>
    <w:rsid w:val="00A9258B"/>
    <w:rsid w:val="00AE37D1"/>
    <w:rsid w:val="00C937CB"/>
    <w:rsid w:val="00CC615A"/>
    <w:rsid w:val="00D22831"/>
    <w:rsid w:val="00DA221B"/>
    <w:rsid w:val="00E06688"/>
    <w:rsid w:val="00EA3BB2"/>
    <w:rsid w:val="00EA6388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6388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A638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EA6388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EA6388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6388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A638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EA6388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EA6388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2017-02-17T00:05:00Z</dcterms:modified>
</cp:coreProperties>
</file>